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rPr>
        <w:t>中华人民共和国刑法修正案（九）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rPr>
        <w:t>（2015年8月29日第十二届全国人民代表大会常务委员会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第十六次会议通过）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FF0000"/>
          <w:spacing w:val="0"/>
          <w:sz w:val="31"/>
          <w:szCs w:val="31"/>
          <w:bdr w:val="none" w:color="auto" w:sz="0" w:space="0"/>
        </w:rPr>
        <w:t>   </w:t>
      </w:r>
      <w:r>
        <w:rPr>
          <w:rFonts w:hint="eastAsia" w:ascii="仿宋" w:hAnsi="仿宋" w:eastAsia="仿宋" w:cs="仿宋"/>
          <w:i w:val="0"/>
          <w:caps w:val="0"/>
          <w:color w:val="333333"/>
          <w:spacing w:val="0"/>
          <w:sz w:val="31"/>
          <w:szCs w:val="31"/>
          <w:bdr w:val="none" w:color="auto" w:sz="0" w:space="0"/>
        </w:rPr>
        <w:t> 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关于办理组织考试作弊等刑事案件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法释〔2019〕13号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最高人民法院、最高人民检察院关于办理组织考试作弊等刑事案件适用法律若干问题的解释》已于2019年4月8日由最高人民法院审判委员会第1765次会议、2019年6月28日由最高人民检察院第十三届检察委员会第二十次会议通过，现予公布，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9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             2019年9月2日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关于办理组织考试作弊等刑事案件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rPr>
        <w:t>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rPr>
        <w:t>第十四条  本解释自2019年9月4日起施行。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1AEF"/>
    <w:rsid w:val="09A61475"/>
    <w:rsid w:val="5348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2020-10-20T01:27:00Z</dcterms:created>
  <dc:creator>呦</dc:creator>
  <cp:lastModifiedBy>呦</cp:lastModifiedBy>
  <dcterms:modified xsi:type="dcterms:W3CDTF">2020-10-20T01:27:24Z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